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761D12" w14:textId="1560950E" w:rsidR="000D4E2C" w:rsidRDefault="00772FE8" w:rsidP="0083767A">
      <w:pPr>
        <w:spacing w:line="276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CA34E8">
        <w:rPr>
          <w:rFonts w:asciiTheme="majorBidi" w:hAnsiTheme="majorBidi" w:cstheme="majorBidi"/>
          <w:b/>
          <w:bCs/>
          <w:sz w:val="24"/>
          <w:szCs w:val="24"/>
        </w:rPr>
        <w:t>A novel</w:t>
      </w:r>
      <w:r w:rsidR="004C5A3A" w:rsidRPr="00CA34E8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7B7472" w:rsidRPr="00CA34E8">
        <w:rPr>
          <w:rFonts w:asciiTheme="majorBidi" w:hAnsiTheme="majorBidi" w:cstheme="majorBidi"/>
          <w:b/>
          <w:bCs/>
          <w:sz w:val="24"/>
          <w:szCs w:val="24"/>
        </w:rPr>
        <w:t xml:space="preserve">hybrid </w:t>
      </w:r>
      <w:r w:rsidRPr="00CA34E8">
        <w:rPr>
          <w:rFonts w:asciiTheme="majorBidi" w:hAnsiTheme="majorBidi" w:cstheme="majorBidi"/>
          <w:b/>
          <w:bCs/>
          <w:sz w:val="24"/>
          <w:szCs w:val="24"/>
        </w:rPr>
        <w:t>numerical approach for modeling cloud microphysical processes</w:t>
      </w:r>
    </w:p>
    <w:p w14:paraId="3543052A" w14:textId="5931C992" w:rsidR="00CA34E8" w:rsidRDefault="00CA34E8" w:rsidP="0083767A">
      <w:pPr>
        <w:spacing w:line="276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Ahmad Ababaei</w:t>
      </w:r>
    </w:p>
    <w:p w14:paraId="5714D4B1" w14:textId="2959B5DE" w:rsidR="00CA34E8" w:rsidRDefault="00CA34E8" w:rsidP="00CA34E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</w:pPr>
      <w:r w:rsidRPr="00CA34E8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t xml:space="preserve">Instytut Meteorologii </w:t>
      </w:r>
      <w:r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t>i</w:t>
      </w:r>
      <w:r w:rsidRPr="00CA34E8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t xml:space="preserve"> Gospodarki Wodnej</w:t>
      </w:r>
      <w:r w:rsidRPr="00CA34E8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br/>
        <w:t>Państwowy Instytut Badawczy</w:t>
      </w:r>
    </w:p>
    <w:p w14:paraId="694A6DC7" w14:textId="77777777" w:rsidR="00CA34E8" w:rsidRPr="00CA34E8" w:rsidRDefault="00CA34E8" w:rsidP="00CA34E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</w:pPr>
      <w:r w:rsidRPr="00CA34E8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t>Centrum Modelowania Meteorologicznego</w:t>
      </w:r>
    </w:p>
    <w:p w14:paraId="3EA671EB" w14:textId="77777777" w:rsidR="00CA34E8" w:rsidRPr="00CA34E8" w:rsidRDefault="00CA34E8" w:rsidP="00CA34E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</w:pPr>
    </w:p>
    <w:p w14:paraId="4B120ED4" w14:textId="0ECFB66E" w:rsidR="00B37914" w:rsidRPr="00CA34E8" w:rsidRDefault="00B37914" w:rsidP="00CA34E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</w:pPr>
    </w:p>
    <w:p w14:paraId="026A1D89" w14:textId="445C8131" w:rsidR="004F7FB1" w:rsidRDefault="006B5BD5" w:rsidP="0083767A">
      <w:pP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6B5BD5">
        <w:rPr>
          <w:rFonts w:asciiTheme="majorBidi" w:hAnsiTheme="majorBidi" w:cstheme="majorBidi"/>
          <w:sz w:val="24"/>
          <w:szCs w:val="24"/>
        </w:rPr>
        <w:t xml:space="preserve">In recent decades, massively parallel </w:t>
      </w:r>
      <w:r w:rsidR="00924CD1">
        <w:rPr>
          <w:rFonts w:asciiTheme="majorBidi" w:hAnsiTheme="majorBidi" w:cstheme="majorBidi"/>
          <w:sz w:val="24"/>
          <w:szCs w:val="24"/>
        </w:rPr>
        <w:t xml:space="preserve">direct </w:t>
      </w:r>
      <w:r w:rsidRPr="006B5BD5">
        <w:rPr>
          <w:rFonts w:asciiTheme="majorBidi" w:hAnsiTheme="majorBidi" w:cstheme="majorBidi"/>
          <w:sz w:val="24"/>
          <w:szCs w:val="24"/>
        </w:rPr>
        <w:t xml:space="preserve">numerical </w:t>
      </w:r>
      <w:r w:rsidRPr="00CA34E8">
        <w:rPr>
          <w:rFonts w:asciiTheme="majorBidi" w:hAnsiTheme="majorBidi" w:cstheme="majorBidi"/>
          <w:color w:val="000000" w:themeColor="text1"/>
          <w:sz w:val="24"/>
          <w:szCs w:val="24"/>
        </w:rPr>
        <w:t>simulations</w:t>
      </w:r>
      <w:r w:rsidR="000A4091" w:rsidRPr="00CA34E8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(DNS)</w:t>
      </w:r>
      <w:r w:rsidRPr="00CA34E8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 w:rsidRPr="006B5BD5">
        <w:rPr>
          <w:rFonts w:asciiTheme="majorBidi" w:hAnsiTheme="majorBidi" w:cstheme="majorBidi"/>
          <w:sz w:val="24"/>
          <w:szCs w:val="24"/>
        </w:rPr>
        <w:t>have emerged as an effective tool to study microphysical processes in atmospheric clouds</w:t>
      </w:r>
      <w:r w:rsidR="00ED23D3">
        <w:rPr>
          <w:rFonts w:asciiTheme="majorBidi" w:hAnsiTheme="majorBidi" w:cstheme="majorBidi"/>
          <w:sz w:val="24"/>
          <w:szCs w:val="24"/>
        </w:rPr>
        <w:t xml:space="preserve">. </w:t>
      </w:r>
      <w:r w:rsidR="00B94948" w:rsidRPr="00B94948">
        <w:rPr>
          <w:rFonts w:asciiTheme="majorBidi" w:hAnsiTheme="majorBidi" w:cstheme="majorBidi"/>
          <w:sz w:val="24"/>
          <w:szCs w:val="24"/>
        </w:rPr>
        <w:t xml:space="preserve">Accurate description of these </w:t>
      </w:r>
      <w:r w:rsidR="003951D0">
        <w:rPr>
          <w:rFonts w:asciiTheme="majorBidi" w:hAnsiTheme="majorBidi" w:cstheme="majorBidi"/>
          <w:sz w:val="24"/>
          <w:szCs w:val="24"/>
        </w:rPr>
        <w:t xml:space="preserve">phenomena </w:t>
      </w:r>
      <w:r w:rsidR="00B94948" w:rsidRPr="00B94948">
        <w:rPr>
          <w:rFonts w:asciiTheme="majorBidi" w:hAnsiTheme="majorBidi" w:cstheme="majorBidi"/>
          <w:sz w:val="24"/>
          <w:szCs w:val="24"/>
        </w:rPr>
        <w:t>is an important step towards</w:t>
      </w:r>
      <w:r w:rsidR="00B94948" w:rsidRPr="00980E7B">
        <w:rPr>
          <w:rFonts w:asciiTheme="majorBidi" w:hAnsiTheme="majorBidi" w:cstheme="majorBidi"/>
          <w:sz w:val="24"/>
          <w:szCs w:val="24"/>
        </w:rPr>
        <w:t xml:space="preserve"> improving the verifiability of weather and climate forecasts.</w:t>
      </w:r>
      <w:r w:rsidR="00B94948" w:rsidRPr="00980E7B">
        <w:t xml:space="preserve"> </w:t>
      </w:r>
      <w:r w:rsidR="00ED23D3" w:rsidRPr="00ED23D3">
        <w:rPr>
          <w:rFonts w:asciiTheme="majorBidi" w:hAnsiTheme="majorBidi" w:cstheme="majorBidi"/>
          <w:sz w:val="24"/>
          <w:szCs w:val="24"/>
        </w:rPr>
        <w:t xml:space="preserve">Mechanisms </w:t>
      </w:r>
      <w:r w:rsidR="004F7FB1">
        <w:rPr>
          <w:rFonts w:asciiTheme="majorBidi" w:hAnsiTheme="majorBidi" w:cstheme="majorBidi"/>
          <w:sz w:val="24"/>
          <w:szCs w:val="24"/>
        </w:rPr>
        <w:t xml:space="preserve">that </w:t>
      </w:r>
      <w:r w:rsidR="00ED23D3" w:rsidRPr="00ED23D3">
        <w:rPr>
          <w:rFonts w:asciiTheme="majorBidi" w:hAnsiTheme="majorBidi" w:cstheme="majorBidi"/>
          <w:sz w:val="24"/>
          <w:szCs w:val="24"/>
        </w:rPr>
        <w:t xml:space="preserve">govern the droplet–droplet and droplet–air interactions determine the collision rate and </w:t>
      </w:r>
      <w:r w:rsidR="004F7FB1">
        <w:rPr>
          <w:rFonts w:asciiTheme="majorBidi" w:hAnsiTheme="majorBidi" w:cstheme="majorBidi"/>
          <w:sz w:val="24"/>
          <w:szCs w:val="24"/>
        </w:rPr>
        <w:t xml:space="preserve">thus </w:t>
      </w:r>
      <w:r w:rsidR="00ED23D3" w:rsidRPr="00ED23D3">
        <w:rPr>
          <w:rFonts w:asciiTheme="majorBidi" w:hAnsiTheme="majorBidi" w:cstheme="majorBidi"/>
          <w:sz w:val="24"/>
          <w:szCs w:val="24"/>
        </w:rPr>
        <w:t>the precipitation formation.</w:t>
      </w:r>
      <w:r w:rsidR="00ED23D3">
        <w:rPr>
          <w:rFonts w:asciiTheme="majorBidi" w:hAnsiTheme="majorBidi" w:cstheme="majorBidi"/>
          <w:sz w:val="24"/>
          <w:szCs w:val="24"/>
        </w:rPr>
        <w:t xml:space="preserve"> </w:t>
      </w:r>
      <w:r w:rsidR="00BB14B4" w:rsidRPr="00436D43">
        <w:rPr>
          <w:rFonts w:asciiTheme="majorBidi" w:hAnsiTheme="majorBidi" w:cstheme="majorBidi"/>
          <w:sz w:val="24"/>
          <w:szCs w:val="24"/>
        </w:rPr>
        <w:t xml:space="preserve">These </w:t>
      </w:r>
      <w:r w:rsidR="003951D0">
        <w:rPr>
          <w:rFonts w:asciiTheme="majorBidi" w:hAnsiTheme="majorBidi" w:cstheme="majorBidi"/>
          <w:sz w:val="24"/>
          <w:szCs w:val="24"/>
        </w:rPr>
        <w:t>processes</w:t>
      </w:r>
      <w:r w:rsidR="00BB14B4" w:rsidRPr="00436D43">
        <w:rPr>
          <w:rFonts w:asciiTheme="majorBidi" w:hAnsiTheme="majorBidi" w:cstheme="majorBidi"/>
          <w:sz w:val="24"/>
          <w:szCs w:val="24"/>
        </w:rPr>
        <w:t xml:space="preserve"> cannot be resolved in the numerical weather prediction (NWP) systems since the horizontal grid spacing of these models is of the order of one kilometer.</w:t>
      </w:r>
      <w:r w:rsidR="00B94948">
        <w:rPr>
          <w:rFonts w:asciiTheme="majorBidi" w:hAnsiTheme="majorBidi" w:cstheme="majorBidi"/>
          <w:sz w:val="24"/>
          <w:szCs w:val="24"/>
        </w:rPr>
        <w:t xml:space="preserve"> </w:t>
      </w:r>
      <w:r w:rsidR="00ED23D3" w:rsidRPr="00980E7B">
        <w:rPr>
          <w:rFonts w:asciiTheme="majorBidi" w:hAnsiTheme="majorBidi" w:cstheme="majorBidi"/>
          <w:sz w:val="24"/>
          <w:szCs w:val="24"/>
        </w:rPr>
        <w:t>DNS simulations feature full representation of turbulent scales</w:t>
      </w:r>
      <w:r w:rsidR="004F7FB1" w:rsidRPr="00980E7B">
        <w:rPr>
          <w:rFonts w:asciiTheme="majorBidi" w:hAnsiTheme="majorBidi" w:cstheme="majorBidi"/>
          <w:sz w:val="24"/>
          <w:szCs w:val="24"/>
        </w:rPr>
        <w:t xml:space="preserve"> in the dissipative range</w:t>
      </w:r>
      <w:r w:rsidR="00F11C0C" w:rsidRPr="00980E7B">
        <w:rPr>
          <w:rFonts w:asciiTheme="majorBidi" w:hAnsiTheme="majorBidi" w:cstheme="majorBidi"/>
          <w:sz w:val="24"/>
          <w:szCs w:val="24"/>
        </w:rPr>
        <w:t xml:space="preserve"> of</w:t>
      </w:r>
      <w:r w:rsidR="0085293C">
        <w:rPr>
          <w:rFonts w:asciiTheme="majorBidi" w:hAnsiTheme="majorBidi" w:cstheme="majorBidi"/>
          <w:sz w:val="24"/>
          <w:szCs w:val="24"/>
        </w:rPr>
        <w:t xml:space="preserve"> the</w:t>
      </w:r>
      <w:r w:rsidR="00F11C0C" w:rsidRPr="00980E7B">
        <w:rPr>
          <w:rFonts w:asciiTheme="majorBidi" w:hAnsiTheme="majorBidi" w:cstheme="majorBidi"/>
          <w:sz w:val="24"/>
          <w:szCs w:val="24"/>
        </w:rPr>
        <w:t xml:space="preserve"> energy spect</w:t>
      </w:r>
      <w:r w:rsidR="00CF4B2E" w:rsidRPr="00980E7B">
        <w:rPr>
          <w:rFonts w:asciiTheme="majorBidi" w:hAnsiTheme="majorBidi" w:cstheme="majorBidi"/>
          <w:sz w:val="24"/>
          <w:szCs w:val="24"/>
        </w:rPr>
        <w:t>ra</w:t>
      </w:r>
      <w:r w:rsidR="00ED23D3" w:rsidRPr="00980E7B">
        <w:rPr>
          <w:rFonts w:asciiTheme="majorBidi" w:hAnsiTheme="majorBidi" w:cstheme="majorBidi"/>
          <w:sz w:val="24"/>
          <w:szCs w:val="24"/>
        </w:rPr>
        <w:t>, but the challenge is to model aerodynamic interactions in</w:t>
      </w:r>
      <w:r w:rsidR="00E51F89" w:rsidRPr="00980E7B">
        <w:rPr>
          <w:rFonts w:asciiTheme="majorBidi" w:hAnsiTheme="majorBidi" w:cstheme="majorBidi"/>
          <w:sz w:val="24"/>
          <w:szCs w:val="24"/>
        </w:rPr>
        <w:t xml:space="preserve"> the</w:t>
      </w:r>
      <w:r w:rsidR="00ED23D3" w:rsidRPr="00980E7B">
        <w:rPr>
          <w:rFonts w:asciiTheme="majorBidi" w:hAnsiTheme="majorBidi" w:cstheme="majorBidi"/>
          <w:sz w:val="24"/>
          <w:szCs w:val="24"/>
        </w:rPr>
        <w:t xml:space="preserve"> systems</w:t>
      </w:r>
      <w:r w:rsidR="00E51F89" w:rsidRPr="00980E7B">
        <w:rPr>
          <w:rFonts w:asciiTheme="majorBidi" w:hAnsiTheme="majorBidi" w:cstheme="majorBidi"/>
          <w:sz w:val="24"/>
          <w:szCs w:val="24"/>
        </w:rPr>
        <w:t xml:space="preserve"> with many droplets.</w:t>
      </w:r>
      <w:r w:rsidR="004F7FB1" w:rsidRPr="00980E7B">
        <w:rPr>
          <w:rFonts w:asciiTheme="majorBidi" w:hAnsiTheme="majorBidi" w:cstheme="majorBidi"/>
          <w:sz w:val="24"/>
          <w:szCs w:val="24"/>
        </w:rPr>
        <w:t xml:space="preserve"> Due to the high complexity </w:t>
      </w:r>
      <w:r w:rsidR="003951D0" w:rsidRPr="00980E7B">
        <w:rPr>
          <w:rFonts w:asciiTheme="majorBidi" w:hAnsiTheme="majorBidi" w:cstheme="majorBidi"/>
          <w:sz w:val="24"/>
          <w:szCs w:val="24"/>
        </w:rPr>
        <w:t xml:space="preserve">these mutual interactions are usually represented </w:t>
      </w:r>
      <w:r w:rsidR="004077EB">
        <w:rPr>
          <w:rFonts w:asciiTheme="majorBidi" w:hAnsiTheme="majorBidi" w:cstheme="majorBidi"/>
          <w:sz w:val="24"/>
          <w:szCs w:val="24"/>
        </w:rPr>
        <w:t>by employing</w:t>
      </w:r>
      <w:r w:rsidR="003951D0" w:rsidRPr="00980E7B">
        <w:rPr>
          <w:rFonts w:asciiTheme="majorBidi" w:hAnsiTheme="majorBidi" w:cstheme="majorBidi"/>
          <w:sz w:val="24"/>
          <w:szCs w:val="24"/>
        </w:rPr>
        <w:t xml:space="preserve"> simplified</w:t>
      </w:r>
      <w:r w:rsidR="00EB3A20" w:rsidRPr="00980E7B">
        <w:rPr>
          <w:rFonts w:asciiTheme="majorBidi" w:hAnsiTheme="majorBidi" w:cstheme="majorBidi"/>
          <w:sz w:val="24"/>
          <w:szCs w:val="24"/>
        </w:rPr>
        <w:t xml:space="preserve"> approaches</w:t>
      </w:r>
      <w:r w:rsidR="003951D0" w:rsidRPr="00980E7B">
        <w:rPr>
          <w:rFonts w:asciiTheme="majorBidi" w:hAnsiTheme="majorBidi" w:cstheme="majorBidi"/>
          <w:sz w:val="24"/>
          <w:szCs w:val="24"/>
        </w:rPr>
        <w:t xml:space="preserve">. </w:t>
      </w:r>
      <w:r w:rsidR="004F7FB1" w:rsidRPr="00980E7B">
        <w:rPr>
          <w:rFonts w:asciiTheme="majorBidi" w:hAnsiTheme="majorBidi" w:cstheme="majorBidi"/>
          <w:sz w:val="24"/>
          <w:szCs w:val="24"/>
        </w:rPr>
        <w:t xml:space="preserve">An example is the superposition method in </w:t>
      </w:r>
      <w:r w:rsidR="00436D43" w:rsidRPr="00C6331F">
        <w:rPr>
          <w:rFonts w:asciiTheme="majorBidi" w:hAnsiTheme="majorBidi" w:cstheme="majorBidi"/>
          <w:sz w:val="24"/>
          <w:szCs w:val="24"/>
        </w:rPr>
        <w:t xml:space="preserve">which the net drag force acting on a given droplet is evaluated by </w:t>
      </w:r>
      <w:r w:rsidR="00E81E02">
        <w:rPr>
          <w:rFonts w:asciiTheme="majorBidi" w:hAnsiTheme="majorBidi" w:cstheme="majorBidi"/>
          <w:sz w:val="24"/>
          <w:szCs w:val="24"/>
        </w:rPr>
        <w:t>superimposing</w:t>
      </w:r>
      <w:r w:rsidR="00436D43" w:rsidRPr="00C6331F">
        <w:rPr>
          <w:rFonts w:asciiTheme="majorBidi" w:hAnsiTheme="majorBidi" w:cstheme="majorBidi"/>
          <w:sz w:val="24"/>
          <w:szCs w:val="24"/>
        </w:rPr>
        <w:t xml:space="preserve"> perturbations generated by all other droplets in its proximity</w:t>
      </w:r>
      <w:r w:rsidR="001162F0" w:rsidRPr="00C6331F">
        <w:rPr>
          <w:rFonts w:asciiTheme="majorBidi" w:hAnsiTheme="majorBidi" w:cstheme="majorBidi"/>
          <w:sz w:val="24"/>
          <w:szCs w:val="24"/>
        </w:rPr>
        <w:t>.</w:t>
      </w:r>
      <w:r w:rsidR="00436D43" w:rsidRPr="00C6331F">
        <w:rPr>
          <w:rFonts w:asciiTheme="majorBidi" w:hAnsiTheme="majorBidi" w:cstheme="majorBidi"/>
          <w:sz w:val="24"/>
          <w:szCs w:val="24"/>
        </w:rPr>
        <w:t xml:space="preserve"> </w:t>
      </w:r>
      <w:r w:rsidR="004F7FB1" w:rsidRPr="004F7FB1">
        <w:rPr>
          <w:rFonts w:asciiTheme="majorBidi" w:hAnsiTheme="majorBidi" w:cstheme="majorBidi"/>
          <w:sz w:val="24"/>
          <w:szCs w:val="24"/>
        </w:rPr>
        <w:t>A key shortcoming of this method is its inability to represent short-range lubric</w:t>
      </w:r>
      <w:r w:rsidR="00F11C0C">
        <w:rPr>
          <w:rFonts w:asciiTheme="majorBidi" w:hAnsiTheme="majorBidi" w:cstheme="majorBidi"/>
          <w:sz w:val="24"/>
          <w:szCs w:val="24"/>
        </w:rPr>
        <w:t>ation</w:t>
      </w:r>
      <w:r w:rsidR="004F7FB1" w:rsidRPr="004F7FB1">
        <w:rPr>
          <w:rFonts w:asciiTheme="majorBidi" w:hAnsiTheme="majorBidi" w:cstheme="majorBidi"/>
          <w:sz w:val="24"/>
          <w:szCs w:val="24"/>
        </w:rPr>
        <w:t xml:space="preserve"> forces.</w:t>
      </w:r>
      <w:r w:rsidR="00EB3A20">
        <w:rPr>
          <w:rFonts w:asciiTheme="majorBidi" w:hAnsiTheme="majorBidi" w:cstheme="majorBidi"/>
          <w:sz w:val="24"/>
          <w:szCs w:val="24"/>
        </w:rPr>
        <w:t xml:space="preserve"> </w:t>
      </w:r>
    </w:p>
    <w:p w14:paraId="72EFAF3A" w14:textId="6B2F22A7" w:rsidR="00980E7B" w:rsidRPr="00980E7B" w:rsidRDefault="00EB3A20" w:rsidP="00980E7B">
      <w:pP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980E7B">
        <w:rPr>
          <w:rFonts w:asciiTheme="majorBidi" w:hAnsiTheme="majorBidi" w:cstheme="majorBidi"/>
          <w:sz w:val="24"/>
          <w:szCs w:val="24"/>
        </w:rPr>
        <w:t>To overcome this problem, a</w:t>
      </w:r>
      <w:r w:rsidR="00CF4B2E" w:rsidRPr="00980E7B">
        <w:rPr>
          <w:rFonts w:asciiTheme="majorBidi" w:hAnsiTheme="majorBidi" w:cstheme="majorBidi"/>
          <w:sz w:val="24"/>
          <w:szCs w:val="24"/>
        </w:rPr>
        <w:t xml:space="preserve"> new computational approach </w:t>
      </w:r>
      <w:r w:rsidRPr="00980E7B">
        <w:rPr>
          <w:rFonts w:asciiTheme="majorBidi" w:hAnsiTheme="majorBidi" w:cstheme="majorBidi"/>
          <w:sz w:val="24"/>
          <w:szCs w:val="24"/>
        </w:rPr>
        <w:t xml:space="preserve">has been proposed </w:t>
      </w:r>
      <w:r w:rsidR="00CF4B2E" w:rsidRPr="00980E7B">
        <w:rPr>
          <w:rFonts w:asciiTheme="majorBidi" w:hAnsiTheme="majorBidi" w:cstheme="majorBidi"/>
          <w:sz w:val="24"/>
          <w:szCs w:val="24"/>
        </w:rPr>
        <w:t xml:space="preserve">that incorporates the effect of long-range many-body aerodynamic interactions along with the short-range lubrication forces. The implementation </w:t>
      </w:r>
      <w:proofErr w:type="gramStart"/>
      <w:r w:rsidR="00CF4B2E" w:rsidRPr="00CA34E8">
        <w:rPr>
          <w:rFonts w:asciiTheme="majorBidi" w:hAnsiTheme="majorBidi" w:cstheme="majorBidi"/>
          <w:color w:val="000000" w:themeColor="text1"/>
          <w:sz w:val="24"/>
          <w:szCs w:val="24"/>
        </w:rPr>
        <w:t>couples</w:t>
      </w:r>
      <w:proofErr w:type="gramEnd"/>
      <w:r w:rsidR="00CF4B2E" w:rsidRPr="00CA34E8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hybrid </w:t>
      </w:r>
      <w:r w:rsidR="000A4091" w:rsidRPr="00CA34E8">
        <w:rPr>
          <w:rFonts w:asciiTheme="majorBidi" w:hAnsiTheme="majorBidi" w:cstheme="majorBidi"/>
          <w:color w:val="000000" w:themeColor="text1"/>
          <w:sz w:val="24"/>
          <w:szCs w:val="24"/>
        </w:rPr>
        <w:t>DNS</w:t>
      </w:r>
      <w:r w:rsidR="00CF4B2E" w:rsidRPr="00CA34E8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with </w:t>
      </w:r>
      <w:r w:rsidR="00CF4B2E" w:rsidRPr="00980E7B">
        <w:rPr>
          <w:rFonts w:asciiTheme="majorBidi" w:hAnsiTheme="majorBidi" w:cstheme="majorBidi"/>
          <w:sz w:val="24"/>
          <w:szCs w:val="24"/>
        </w:rPr>
        <w:t xml:space="preserve">the analytical solutions of two rigid spheres moving in an unbounded fluid. Moreover, the model </w:t>
      </w:r>
      <w:proofErr w:type="gramStart"/>
      <w:r w:rsidR="00CF4B2E" w:rsidRPr="00980E7B">
        <w:rPr>
          <w:rFonts w:asciiTheme="majorBidi" w:hAnsiTheme="majorBidi" w:cstheme="majorBidi"/>
          <w:sz w:val="24"/>
          <w:szCs w:val="24"/>
        </w:rPr>
        <w:t>takes into account</w:t>
      </w:r>
      <w:proofErr w:type="gramEnd"/>
      <w:r w:rsidR="00980E7B" w:rsidRPr="00980E7B">
        <w:rPr>
          <w:rFonts w:asciiTheme="majorBidi" w:hAnsiTheme="majorBidi" w:cstheme="majorBidi"/>
          <w:sz w:val="24"/>
          <w:szCs w:val="24"/>
        </w:rPr>
        <w:t xml:space="preserve"> internal circulation of water inside droplets, and </w:t>
      </w:r>
      <w:proofErr w:type="spellStart"/>
      <w:r w:rsidR="00980E7B" w:rsidRPr="00980E7B">
        <w:rPr>
          <w:rFonts w:asciiTheme="majorBidi" w:hAnsiTheme="majorBidi" w:cstheme="majorBidi"/>
          <w:sz w:val="24"/>
          <w:szCs w:val="24"/>
        </w:rPr>
        <w:t>noncontinuum</w:t>
      </w:r>
      <w:proofErr w:type="spellEnd"/>
      <w:r w:rsidR="00980E7B" w:rsidRPr="00980E7B">
        <w:rPr>
          <w:rFonts w:asciiTheme="majorBidi" w:hAnsiTheme="majorBidi" w:cstheme="majorBidi"/>
          <w:sz w:val="24"/>
          <w:szCs w:val="24"/>
        </w:rPr>
        <w:t xml:space="preserve"> molecular effects. </w:t>
      </w:r>
    </w:p>
    <w:p w14:paraId="1B1421EF" w14:textId="1044F182" w:rsidR="00E26990" w:rsidRPr="00E26990" w:rsidRDefault="00E26990" w:rsidP="00CA34E8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2699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The present talk discusses </w:t>
      </w:r>
      <w:r w:rsidR="004077EB">
        <w:rPr>
          <w:rFonts w:ascii="Times New Roman" w:eastAsia="Times New Roman" w:hAnsi="Times New Roman" w:cs="Times New Roman"/>
          <w:sz w:val="24"/>
          <w:szCs w:val="24"/>
          <w:lang w:eastAsia="pl-PL"/>
        </w:rPr>
        <w:t>m</w:t>
      </w:r>
      <w:r w:rsidR="004077EB" w:rsidRPr="004077EB">
        <w:rPr>
          <w:rFonts w:ascii="Times New Roman" w:eastAsia="Times New Roman" w:hAnsi="Times New Roman" w:cs="Times New Roman"/>
          <w:sz w:val="24"/>
          <w:szCs w:val="24"/>
          <w:lang w:eastAsia="pl-PL"/>
        </w:rPr>
        <w:t>ethods and algorithms for organization of computations in</w:t>
      </w:r>
      <w:r w:rsidR="004077E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4077EB" w:rsidRPr="00E26990">
        <w:rPr>
          <w:rFonts w:ascii="Times New Roman" w:eastAsia="Times New Roman" w:hAnsi="Times New Roman" w:cs="Times New Roman"/>
          <w:sz w:val="24"/>
          <w:szCs w:val="24"/>
          <w:lang w:val="en" w:eastAsia="pl-PL"/>
        </w:rPr>
        <w:t>the model</w:t>
      </w:r>
      <w:r w:rsidR="004077EB">
        <w:rPr>
          <w:rFonts w:ascii="Times New Roman" w:eastAsia="Times New Roman" w:hAnsi="Times New Roman" w:cs="Times New Roman"/>
          <w:sz w:val="24"/>
          <w:szCs w:val="24"/>
          <w:lang w:val="en" w:eastAsia="pl-PL"/>
        </w:rPr>
        <w:t xml:space="preserve"> </w:t>
      </w:r>
      <w:r w:rsidRPr="00E26990">
        <w:rPr>
          <w:rFonts w:ascii="Times New Roman" w:eastAsia="Times New Roman" w:hAnsi="Times New Roman" w:cs="Times New Roman"/>
          <w:sz w:val="24"/>
          <w:szCs w:val="24"/>
          <w:lang w:val="en" w:eastAsia="pl-PL"/>
        </w:rPr>
        <w:t xml:space="preserve">along with </w:t>
      </w:r>
      <w:r w:rsidR="004077EB">
        <w:rPr>
          <w:rFonts w:ascii="Times New Roman" w:eastAsia="Times New Roman" w:hAnsi="Times New Roman" w:cs="Times New Roman"/>
          <w:sz w:val="24"/>
          <w:szCs w:val="24"/>
          <w:lang w:val="en" w:eastAsia="pl-PL"/>
        </w:rPr>
        <w:t xml:space="preserve">most recent simulation </w:t>
      </w:r>
      <w:r w:rsidRPr="00E26990">
        <w:rPr>
          <w:rFonts w:ascii="Times New Roman" w:eastAsia="Times New Roman" w:hAnsi="Times New Roman" w:cs="Times New Roman"/>
          <w:sz w:val="24"/>
          <w:szCs w:val="24"/>
          <w:lang w:val="en" w:eastAsia="pl-PL"/>
        </w:rPr>
        <w:t>results</w:t>
      </w:r>
      <w:r>
        <w:rPr>
          <w:rFonts w:ascii="Times New Roman" w:eastAsia="Times New Roman" w:hAnsi="Times New Roman" w:cs="Times New Roman"/>
          <w:sz w:val="24"/>
          <w:szCs w:val="24"/>
          <w:lang w:val="en" w:eastAsia="pl-PL"/>
        </w:rPr>
        <w:t xml:space="preserve">. </w:t>
      </w:r>
      <w:r w:rsidR="0085293C" w:rsidRPr="0085293C">
        <w:rPr>
          <w:rFonts w:ascii="Times New Roman" w:eastAsia="Times New Roman" w:hAnsi="Times New Roman" w:cs="Times New Roman"/>
          <w:sz w:val="24"/>
          <w:szCs w:val="24"/>
          <w:lang w:val="en" w:eastAsia="pl-PL"/>
        </w:rPr>
        <w:t xml:space="preserve">These include dynamic and kinematic </w:t>
      </w:r>
      <w:r w:rsidR="0085293C">
        <w:rPr>
          <w:rFonts w:ascii="Times New Roman" w:eastAsia="Times New Roman" w:hAnsi="Times New Roman" w:cs="Times New Roman"/>
          <w:sz w:val="24"/>
          <w:szCs w:val="24"/>
          <w:lang w:val="en" w:eastAsia="pl-PL"/>
        </w:rPr>
        <w:t>collision</w:t>
      </w:r>
      <w:r w:rsidR="00CA34E8">
        <w:rPr>
          <w:rFonts w:ascii="Times New Roman" w:eastAsia="Times New Roman" w:hAnsi="Times New Roman" w:cs="Times New Roman"/>
          <w:sz w:val="24"/>
          <w:szCs w:val="24"/>
          <w:lang w:val="en" w:eastAsia="pl-PL"/>
        </w:rPr>
        <w:t xml:space="preserve"> </w:t>
      </w:r>
      <w:r w:rsidR="0085293C" w:rsidRPr="0085293C">
        <w:rPr>
          <w:rFonts w:ascii="Times New Roman" w:eastAsia="Times New Roman" w:hAnsi="Times New Roman" w:cs="Times New Roman"/>
          <w:sz w:val="24"/>
          <w:szCs w:val="24"/>
          <w:lang w:val="en" w:eastAsia="pl-PL"/>
        </w:rPr>
        <w:t xml:space="preserve">statistics of </w:t>
      </w:r>
      <w:r w:rsidR="0085293C">
        <w:rPr>
          <w:rFonts w:ascii="Times New Roman" w:eastAsia="Times New Roman" w:hAnsi="Times New Roman" w:cs="Times New Roman"/>
          <w:sz w:val="24"/>
          <w:szCs w:val="24"/>
          <w:lang w:val="en" w:eastAsia="pl-PL"/>
        </w:rPr>
        <w:t xml:space="preserve">droplets </w:t>
      </w:r>
      <w:r w:rsidR="0085293C" w:rsidRPr="0085293C">
        <w:rPr>
          <w:rFonts w:ascii="Times New Roman" w:eastAsia="Times New Roman" w:hAnsi="Times New Roman" w:cs="Times New Roman"/>
          <w:sz w:val="24"/>
          <w:szCs w:val="24"/>
          <w:lang w:val="en" w:eastAsia="pl-PL"/>
        </w:rPr>
        <w:t xml:space="preserve">under conditions representative </w:t>
      </w:r>
      <w:r w:rsidR="0085293C">
        <w:rPr>
          <w:rFonts w:ascii="Times New Roman" w:eastAsia="Times New Roman" w:hAnsi="Times New Roman" w:cs="Times New Roman"/>
          <w:sz w:val="24"/>
          <w:szCs w:val="24"/>
          <w:lang w:val="en" w:eastAsia="pl-PL"/>
        </w:rPr>
        <w:t>for</w:t>
      </w:r>
      <w:r w:rsidR="0085293C" w:rsidRPr="0085293C">
        <w:rPr>
          <w:rFonts w:ascii="Times New Roman" w:eastAsia="Times New Roman" w:hAnsi="Times New Roman" w:cs="Times New Roman"/>
          <w:sz w:val="24"/>
          <w:szCs w:val="24"/>
          <w:lang w:val="en" w:eastAsia="pl-PL"/>
        </w:rPr>
        <w:t xml:space="preserve"> moderate to strong convection.</w:t>
      </w:r>
    </w:p>
    <w:p w14:paraId="309DE2A6" w14:textId="6E66912F" w:rsidR="00E26990" w:rsidRPr="00E26990" w:rsidRDefault="00E26990" w:rsidP="00E269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CA329F3" w14:textId="31C9EE58" w:rsidR="00CF4B2E" w:rsidRPr="00CF4B2E" w:rsidRDefault="00CF4B2E" w:rsidP="00CF4B2E">
      <w:pPr>
        <w:pStyle w:val="NormalnyWeb"/>
        <w:rPr>
          <w:lang w:val="en-US"/>
        </w:rPr>
      </w:pPr>
    </w:p>
    <w:p w14:paraId="48F50755" w14:textId="0A8D13EA" w:rsidR="00CF4B2E" w:rsidRPr="00CF4B2E" w:rsidRDefault="00CF4B2E" w:rsidP="00CF4B2E">
      <w:pPr>
        <w:pStyle w:val="NormalnyWeb"/>
        <w:rPr>
          <w:lang w:val="en-US"/>
        </w:rPr>
      </w:pPr>
    </w:p>
    <w:p w14:paraId="4AEC2F67" w14:textId="7B271E1E" w:rsidR="00EB3A20" w:rsidRDefault="00EB3A20" w:rsidP="00EB3A20">
      <w:pPr>
        <w:pStyle w:val="NormalnyWeb"/>
        <w:rPr>
          <w:rFonts w:ascii="NimbusRomNo9L" w:hAnsi="NimbusRomNo9L"/>
          <w:color w:val="211E1E"/>
          <w:sz w:val="22"/>
          <w:szCs w:val="22"/>
          <w:lang w:val="en-US"/>
        </w:rPr>
      </w:pPr>
    </w:p>
    <w:p w14:paraId="584C2A53" w14:textId="77777777" w:rsidR="00EB3A20" w:rsidRPr="003951D0" w:rsidRDefault="00EB3A20" w:rsidP="0083767A">
      <w:pPr>
        <w:spacing w:line="276" w:lineRule="auto"/>
        <w:jc w:val="both"/>
        <w:rPr>
          <w:lang w:val="en"/>
        </w:rPr>
      </w:pPr>
    </w:p>
    <w:p w14:paraId="3E98A184" w14:textId="44A46E5C" w:rsidR="00D851A9" w:rsidRPr="00E81E02" w:rsidRDefault="00D851A9" w:rsidP="0083767A">
      <w:pP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</w:p>
    <w:sectPr w:rsidR="00D851A9" w:rsidRPr="00E81E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imbusRomNo9L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81E"/>
    <w:rsid w:val="000A4091"/>
    <w:rsid w:val="000D4E2C"/>
    <w:rsid w:val="001162F0"/>
    <w:rsid w:val="001E4DCF"/>
    <w:rsid w:val="001E6FFD"/>
    <w:rsid w:val="002E3441"/>
    <w:rsid w:val="00333942"/>
    <w:rsid w:val="003951D0"/>
    <w:rsid w:val="004077EB"/>
    <w:rsid w:val="00436D43"/>
    <w:rsid w:val="0045681E"/>
    <w:rsid w:val="004C5A3A"/>
    <w:rsid w:val="004F7FB1"/>
    <w:rsid w:val="005B6E7D"/>
    <w:rsid w:val="006B5BD5"/>
    <w:rsid w:val="00772FE8"/>
    <w:rsid w:val="007B7472"/>
    <w:rsid w:val="0083767A"/>
    <w:rsid w:val="0085293C"/>
    <w:rsid w:val="008D604E"/>
    <w:rsid w:val="00924CD1"/>
    <w:rsid w:val="0096710E"/>
    <w:rsid w:val="00980E7B"/>
    <w:rsid w:val="00A74A76"/>
    <w:rsid w:val="00B268BB"/>
    <w:rsid w:val="00B37914"/>
    <w:rsid w:val="00B56783"/>
    <w:rsid w:val="00B94948"/>
    <w:rsid w:val="00BB14B4"/>
    <w:rsid w:val="00C6331F"/>
    <w:rsid w:val="00CA34E8"/>
    <w:rsid w:val="00CF4B2E"/>
    <w:rsid w:val="00D30911"/>
    <w:rsid w:val="00D851A9"/>
    <w:rsid w:val="00E26990"/>
    <w:rsid w:val="00E51F89"/>
    <w:rsid w:val="00E81E02"/>
    <w:rsid w:val="00EB3A20"/>
    <w:rsid w:val="00ED23D3"/>
    <w:rsid w:val="00F11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C4D4E"/>
  <w15:chartTrackingRefBased/>
  <w15:docId w15:val="{3BA97D9D-CD80-48E3-93B4-EECE58B58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rynqvb">
    <w:name w:val="rynqvb"/>
    <w:basedOn w:val="Domylnaczcionkaakapitu"/>
    <w:rsid w:val="00924CD1"/>
  </w:style>
  <w:style w:type="paragraph" w:styleId="NormalnyWeb">
    <w:name w:val="Normal (Web)"/>
    <w:basedOn w:val="Normalny"/>
    <w:uiPriority w:val="99"/>
    <w:semiHidden/>
    <w:unhideWhenUsed/>
    <w:rsid w:val="00EB3A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character" w:customStyle="1" w:styleId="markcu6fvrjo8">
    <w:name w:val="markcu6fvrjo8"/>
    <w:basedOn w:val="Domylnaczcionkaakapitu"/>
    <w:rsid w:val="00CA34E8"/>
  </w:style>
  <w:style w:type="character" w:customStyle="1" w:styleId="mark8g68j14pa">
    <w:name w:val="mark8g68j14pa"/>
    <w:basedOn w:val="Domylnaczcionkaakapitu"/>
    <w:rsid w:val="00CA34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40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2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4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56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6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230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740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727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5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208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298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465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606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220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18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670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874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792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784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33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569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047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1638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4022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6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71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036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347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534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389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2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0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55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7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303</Words>
  <Characters>1819</Characters>
  <Application>Microsoft Office Word</Application>
  <DocSecurity>0</DocSecurity>
  <Lines>15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Ahmad Ababaei</dc:creator>
  <cp:keywords/>
  <dc:description/>
  <cp:lastModifiedBy>Microsoft Office User</cp:lastModifiedBy>
  <cp:revision>2</cp:revision>
  <dcterms:created xsi:type="dcterms:W3CDTF">2023-01-31T12:23:00Z</dcterms:created>
  <dcterms:modified xsi:type="dcterms:W3CDTF">2023-01-31T12:23:00Z</dcterms:modified>
</cp:coreProperties>
</file>